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511FD" w:rsidR="008A3008" w:rsidRDefault="008A3008" w14:paraId="2C21CB4B" w14:textId="77777777">
      <w:pPr>
        <w:rPr>
          <w:rFonts w:ascii="Arial" w:hAnsi="Arial" w:cs="Arial"/>
          <w:sz w:val="22"/>
          <w:szCs w:val="22"/>
        </w:rPr>
      </w:pPr>
    </w:p>
    <w:tbl>
      <w:tblPr>
        <w:tblStyle w:val="TableGrid"/>
        <w:tblW w:w="0" w:type="auto"/>
        <w:tblLook w:val="04A0" w:firstRow="1" w:lastRow="0" w:firstColumn="1" w:lastColumn="0" w:noHBand="0" w:noVBand="1"/>
      </w:tblPr>
      <w:tblGrid>
        <w:gridCol w:w="1975"/>
        <w:gridCol w:w="7375"/>
      </w:tblGrid>
      <w:tr w:rsidR="3E66C466" w:rsidTr="635DE551" w14:paraId="6F091A3C">
        <w:trPr>
          <w:trHeight w:val="300"/>
        </w:trPr>
        <w:tc>
          <w:tcPr>
            <w:tcW w:w="1975" w:type="dxa"/>
            <w:tcMar/>
          </w:tcPr>
          <w:p w:rsidR="3E66C466" w:rsidP="3E66C466" w:rsidRDefault="3E66C466" w14:paraId="42FA7B49" w14:textId="19EB1615">
            <w:pPr>
              <w:rPr>
                <w:rFonts w:ascii="Arial" w:hAnsi="Arial" w:cs="Arial"/>
                <w:sz w:val="22"/>
                <w:szCs w:val="22"/>
              </w:rPr>
            </w:pPr>
            <w:r w:rsidRPr="3E66C466" w:rsidR="3E66C466">
              <w:rPr>
                <w:rFonts w:ascii="Arial" w:hAnsi="Arial" w:cs="Arial"/>
                <w:sz w:val="22"/>
                <w:szCs w:val="22"/>
              </w:rPr>
              <w:t>Channel</w:t>
            </w:r>
          </w:p>
        </w:tc>
        <w:tc>
          <w:tcPr>
            <w:tcW w:w="7375" w:type="dxa"/>
            <w:tcMar/>
          </w:tcPr>
          <w:p w:rsidR="3E66C466" w:rsidP="3E66C466" w:rsidRDefault="3E66C466" w14:paraId="42FBDE3B" w14:textId="712A87C8">
            <w:pPr>
              <w:rPr>
                <w:rFonts w:ascii="Arial" w:hAnsi="Arial" w:cs="Arial"/>
                <w:sz w:val="22"/>
                <w:szCs w:val="22"/>
              </w:rPr>
            </w:pPr>
            <w:r w:rsidRPr="3E66C466" w:rsidR="3E66C466">
              <w:rPr>
                <w:rFonts w:ascii="Arial" w:hAnsi="Arial" w:cs="Arial"/>
                <w:sz w:val="22"/>
                <w:szCs w:val="22"/>
              </w:rPr>
              <w:t>Content</w:t>
            </w:r>
          </w:p>
        </w:tc>
      </w:tr>
      <w:tr w:rsidR="3E66C466" w:rsidTr="635DE551" w14:paraId="054EB548">
        <w:trPr>
          <w:trHeight w:val="300"/>
        </w:trPr>
        <w:tc>
          <w:tcPr>
            <w:tcW w:w="1975" w:type="dxa"/>
            <w:tcMar/>
          </w:tcPr>
          <w:p w:rsidR="3E66C466" w:rsidP="3E66C466" w:rsidRDefault="3E66C466" w14:paraId="5A6DBE82" w14:textId="1AA3362C">
            <w:pPr>
              <w:rPr>
                <w:rFonts w:ascii="Arial" w:hAnsi="Arial" w:cs="Arial"/>
                <w:sz w:val="22"/>
                <w:szCs w:val="22"/>
              </w:rPr>
            </w:pPr>
            <w:r w:rsidRPr="3E66C466" w:rsidR="3E66C466">
              <w:rPr>
                <w:rFonts w:ascii="Arial" w:hAnsi="Arial" w:cs="Arial"/>
                <w:sz w:val="22"/>
                <w:szCs w:val="22"/>
              </w:rPr>
              <w:t>Newsroom Article</w:t>
            </w:r>
          </w:p>
        </w:tc>
        <w:tc>
          <w:tcPr>
            <w:tcW w:w="7375" w:type="dxa"/>
            <w:tcMar/>
          </w:tcPr>
          <w:p w:rsidR="6201CA78" w:rsidP="3E66C466" w:rsidRDefault="6201CA78" w14:paraId="02DCFF25" w14:textId="302F2BAE">
            <w:pPr>
              <w:spacing w:before="0" w:beforeAutospacing="off" w:after="0" w:afterAutospacing="off"/>
            </w:pPr>
            <w:r w:rsidRPr="3E66C466" w:rsidR="6201CA78">
              <w:rPr>
                <w:rFonts w:ascii="Arial" w:hAnsi="Arial" w:eastAsia="Arial" w:cs="Arial"/>
                <w:b w:val="1"/>
                <w:bCs w:val="1"/>
                <w:noProof w:val="0"/>
                <w:sz w:val="22"/>
                <w:szCs w:val="22"/>
                <w:lang w:val="en-US"/>
              </w:rPr>
              <w:t>Seguros Confie Supports Migrant Women, Children, and Rescued Pets Through Donations</w:t>
            </w:r>
            <w:r w:rsidRPr="3E66C466" w:rsidR="6201CA78">
              <w:rPr>
                <w:rFonts w:ascii="Arial" w:hAnsi="Arial" w:eastAsia="Arial" w:cs="Arial"/>
                <w:noProof w:val="0"/>
                <w:sz w:val="22"/>
                <w:szCs w:val="22"/>
                <w:lang w:val="en-US"/>
              </w:rPr>
              <w:t xml:space="preserve"> </w:t>
            </w:r>
          </w:p>
          <w:p w:rsidR="6201CA78" w:rsidP="3E66C466" w:rsidRDefault="6201CA78" w14:paraId="4D6595B2" w14:textId="7696209C">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715F1CA6" w14:textId="5940D24E">
            <w:pPr>
              <w:spacing w:before="0" w:beforeAutospacing="off" w:after="0" w:afterAutospacing="off"/>
            </w:pPr>
            <w:r w:rsidRPr="3E66C466" w:rsidR="6201CA78">
              <w:rPr>
                <w:rFonts w:ascii="Arial" w:hAnsi="Arial" w:eastAsia="Arial" w:cs="Arial"/>
                <w:b w:val="1"/>
                <w:bCs w:val="1"/>
                <w:noProof w:val="0"/>
                <w:sz w:val="22"/>
                <w:szCs w:val="22"/>
                <w:lang w:val="en-US"/>
              </w:rPr>
              <w:t>Tijuana, Baja California – April 2025</w:t>
            </w:r>
            <w:r w:rsidRPr="3E66C466" w:rsidR="6201CA78">
              <w:rPr>
                <w:rFonts w:ascii="Arial" w:hAnsi="Arial" w:eastAsia="Arial" w:cs="Arial"/>
                <w:noProof w:val="0"/>
                <w:sz w:val="22"/>
                <w:szCs w:val="22"/>
                <w:lang w:val="en-US"/>
              </w:rPr>
              <w:t xml:space="preserve"> – As part of its ongoing commitment to community support and social responsibility, </w:t>
            </w:r>
            <w:r w:rsidRPr="3E66C466" w:rsidR="6201CA78">
              <w:rPr>
                <w:rFonts w:ascii="Arial" w:hAnsi="Arial" w:eastAsia="Arial" w:cs="Arial"/>
                <w:b w:val="1"/>
                <w:bCs w:val="1"/>
                <w:noProof w:val="0"/>
                <w:sz w:val="22"/>
                <w:szCs w:val="22"/>
                <w:lang w:val="en-US"/>
              </w:rPr>
              <w:t xml:space="preserve">Seguros Confie, </w:t>
            </w:r>
            <w:r w:rsidRPr="3E66C466" w:rsidR="6201CA78">
              <w:rPr>
                <w:rFonts w:ascii="Arial" w:hAnsi="Arial" w:eastAsia="Arial" w:cs="Arial"/>
                <w:noProof w:val="0"/>
                <w:sz w:val="22"/>
                <w:szCs w:val="22"/>
                <w:lang w:val="en-US"/>
              </w:rPr>
              <w:t>a Tijuana call center division of Confie, the largest independent personal lines agency in the U.S, recently made two impactful donations benefiting both vulnerable people and animals in the region.</w:t>
            </w:r>
          </w:p>
          <w:p w:rsidR="6201CA78" w:rsidP="3E66C466" w:rsidRDefault="6201CA78" w14:paraId="2B2A4EB1" w14:textId="478F4B7C">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5DA1EB82" w14:textId="1B36ABF2">
            <w:pPr>
              <w:spacing w:before="0" w:beforeAutospacing="off" w:after="0" w:afterAutospacing="off"/>
            </w:pPr>
            <w:r w:rsidRPr="3E66C466" w:rsidR="6201CA78">
              <w:rPr>
                <w:rFonts w:ascii="Arial" w:hAnsi="Arial" w:eastAsia="Arial" w:cs="Arial"/>
                <w:noProof w:val="0"/>
                <w:sz w:val="22"/>
                <w:szCs w:val="22"/>
                <w:lang w:val="en-US"/>
              </w:rPr>
              <w:t xml:space="preserve">The first donation was made to Karu Pet Rescue AC, a nonprofit dedicated to rescuing and rehabilitating abandoned animals. Valued at $10,458.30 MXN, the donation included pet food for adult and young dogs and cats, cat litter, Bravecto flea and tick treatments, and essential cleaning supplies, such as pet-safe bleach and white vinegar. The delivery took place at Karu’s temporary home and main collection center, where the team was warmly welcomed by Angelica Gomez, Karu’s representative.  </w:t>
            </w:r>
          </w:p>
          <w:p w:rsidR="6201CA78" w:rsidP="3E66C466" w:rsidRDefault="6201CA78" w14:paraId="75262B19" w14:textId="5A8EDCDB">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058E5FE7" w14:textId="3FFAD97D">
            <w:pPr>
              <w:spacing w:before="0" w:beforeAutospacing="off" w:after="0" w:afterAutospacing="off"/>
            </w:pPr>
            <w:r w:rsidRPr="3E66C466" w:rsidR="6201CA78">
              <w:rPr>
                <w:rFonts w:ascii="Arial" w:hAnsi="Arial" w:eastAsia="Arial" w:cs="Arial"/>
                <w:noProof w:val="0"/>
                <w:sz w:val="22"/>
                <w:szCs w:val="22"/>
                <w:lang w:val="en-US"/>
              </w:rPr>
              <w:t xml:space="preserve">“Abandoned dogs and cats present broad challenges in Mexico,” said </w:t>
            </w:r>
            <w:r w:rsidRPr="3E66C466" w:rsidR="6201CA78">
              <w:rPr>
                <w:rFonts w:ascii="Arial" w:hAnsi="Arial" w:eastAsia="Arial" w:cs="Arial"/>
                <w:b w:val="1"/>
                <w:bCs w:val="1"/>
                <w:noProof w:val="0"/>
                <w:sz w:val="22"/>
                <w:szCs w:val="22"/>
                <w:lang w:val="en-US"/>
              </w:rPr>
              <w:t>Katya Navarrete</w:t>
            </w:r>
            <w:r w:rsidRPr="3E66C466" w:rsidR="6201CA78">
              <w:rPr>
                <w:rFonts w:ascii="Arial" w:hAnsi="Arial" w:eastAsia="Arial" w:cs="Arial"/>
                <w:noProof w:val="0"/>
                <w:sz w:val="22"/>
                <w:szCs w:val="22"/>
                <w:lang w:val="en-US"/>
              </w:rPr>
              <w:t xml:space="preserve">, Director of Marketing and Communications. “Supporting Karu Pet Rescue reflects the strong commitment of our Confie employees, who are passionate about helping animal welfare causes.” </w:t>
            </w:r>
          </w:p>
          <w:p w:rsidR="6201CA78" w:rsidP="3E66C466" w:rsidRDefault="6201CA78" w14:paraId="628EF610" w14:textId="7722A798">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5B16286D" w14:textId="18511094">
            <w:pPr>
              <w:spacing w:before="0" w:beforeAutospacing="off" w:after="0" w:afterAutospacing="off"/>
            </w:pPr>
            <w:r w:rsidRPr="3E66C466" w:rsidR="6201CA78">
              <w:rPr>
                <w:rFonts w:ascii="Arial" w:hAnsi="Arial" w:eastAsia="Arial" w:cs="Arial"/>
                <w:noProof w:val="0"/>
                <w:sz w:val="22"/>
                <w:szCs w:val="22"/>
                <w:lang w:val="en-US"/>
              </w:rPr>
              <w:t xml:space="preserve">Seguros Confie employees also made a donation to Casa Puerta de Esperanza, a shelter that is part of the Salvation Army network. With a value of $10,414.86 MXN, this contribution provided sandals, undergarments, and food items to support women and children who have recently been deported and are now rebuilding their lives in Mexico. Ruth Ruiz, Director of Casa Puerta de Esperanza, received the donation and expressed heartfelt gratitude for the support.  </w:t>
            </w:r>
          </w:p>
          <w:p w:rsidR="6201CA78" w:rsidP="3E66C466" w:rsidRDefault="6201CA78" w14:paraId="725E57FC" w14:textId="71E6D5C6">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3444380A" w14:textId="2E59BC4D">
            <w:pPr>
              <w:spacing w:before="0" w:beforeAutospacing="off" w:after="0" w:afterAutospacing="off"/>
            </w:pPr>
            <w:r w:rsidRPr="3E66C466" w:rsidR="6201CA78">
              <w:rPr>
                <w:rFonts w:ascii="Arial" w:hAnsi="Arial" w:eastAsia="Arial" w:cs="Arial"/>
                <w:noProof w:val="0"/>
                <w:sz w:val="22"/>
                <w:szCs w:val="22"/>
                <w:lang w:val="en-US"/>
              </w:rPr>
              <w:t xml:space="preserve">“At Seguros Confie, many of our employees have migration stories of their own, making this cause deeply personal to us,” said </w:t>
            </w:r>
            <w:r w:rsidRPr="3E66C466" w:rsidR="6201CA78">
              <w:rPr>
                <w:rFonts w:ascii="Arial" w:hAnsi="Arial" w:eastAsia="Arial" w:cs="Arial"/>
                <w:b w:val="1"/>
                <w:bCs w:val="1"/>
                <w:noProof w:val="0"/>
                <w:sz w:val="22"/>
                <w:szCs w:val="22"/>
                <w:lang w:val="en-US"/>
              </w:rPr>
              <w:t>Javier Rosas</w:t>
            </w:r>
            <w:r w:rsidRPr="3E66C466" w:rsidR="6201CA78">
              <w:rPr>
                <w:rFonts w:ascii="Arial" w:hAnsi="Arial" w:eastAsia="Arial" w:cs="Arial"/>
                <w:noProof w:val="0"/>
                <w:sz w:val="22"/>
                <w:szCs w:val="22"/>
                <w:lang w:val="en-US"/>
              </w:rPr>
              <w:t xml:space="preserve">, Confie’s Sr. Director of Human Resources in Tijuana. “We want everyone to know that our doors are open to offer employment opportunities and to support those seeking a new beginning.” </w:t>
            </w:r>
          </w:p>
          <w:p w:rsidR="6201CA78" w:rsidP="3E66C466" w:rsidRDefault="6201CA78" w14:paraId="39E752C0" w14:textId="7FF28F6E">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36DC14B4" w14:textId="4F500C22">
            <w:pPr>
              <w:spacing w:before="0" w:beforeAutospacing="off" w:after="0" w:afterAutospacing="off"/>
            </w:pPr>
            <w:r w:rsidRPr="3E66C466" w:rsidR="6201CA78">
              <w:rPr>
                <w:rFonts w:ascii="Arial" w:hAnsi="Arial" w:eastAsia="Arial" w:cs="Arial"/>
                <w:noProof w:val="0"/>
                <w:sz w:val="22"/>
                <w:szCs w:val="22"/>
                <w:lang w:val="en-US"/>
              </w:rPr>
              <w:t xml:space="preserve">These donations were made possible through the efforts of the Social Responsibility Committee and a team of volunteers from various departments, reflecting the spirit of solidarity and service that defines Seguros Confie. </w:t>
            </w:r>
          </w:p>
          <w:p w:rsidR="6201CA78" w:rsidP="3E66C466" w:rsidRDefault="6201CA78" w14:paraId="69207C0E" w14:textId="78D44303">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1E3BD1B3" w14:textId="51441A99">
            <w:pPr>
              <w:spacing w:before="0" w:beforeAutospacing="off" w:after="0" w:afterAutospacing="off"/>
            </w:pPr>
            <w:r w:rsidRPr="635DE551" w:rsidR="6201CA78">
              <w:rPr>
                <w:rFonts w:ascii="Arial" w:hAnsi="Arial" w:eastAsia="Arial" w:cs="Arial"/>
                <w:noProof w:val="0"/>
                <w:sz w:val="22"/>
                <w:szCs w:val="22"/>
                <w:lang w:val="en-US"/>
              </w:rPr>
              <w:t xml:space="preserve">Through these actions, the company reaffirms its belief in building a more compassionate and inclusive community—for people and animals alike. </w:t>
            </w:r>
          </w:p>
          <w:p w:rsidR="6201CA78" w:rsidP="3E66C466" w:rsidRDefault="6201CA78" w14:paraId="2422CBE2" w14:textId="5ABB66B7">
            <w:pPr>
              <w:spacing w:before="0" w:beforeAutospacing="off" w:after="0" w:afterAutospacing="off"/>
            </w:pPr>
            <w:r w:rsidRPr="3E66C466" w:rsidR="6201CA78">
              <w:rPr>
                <w:rFonts w:ascii="Arial" w:hAnsi="Arial" w:eastAsia="Arial" w:cs="Arial"/>
                <w:noProof w:val="0"/>
                <w:sz w:val="22"/>
                <w:szCs w:val="22"/>
                <w:lang w:val="en-US"/>
              </w:rPr>
              <w:t xml:space="preserve"> </w:t>
            </w:r>
          </w:p>
          <w:p w:rsidR="6201CA78" w:rsidP="3E66C466" w:rsidRDefault="6201CA78" w14:paraId="6D33E451" w14:textId="53F15064">
            <w:pPr>
              <w:spacing w:before="0" w:beforeAutospacing="off" w:after="0" w:afterAutospacing="off"/>
            </w:pPr>
            <w:r w:rsidRPr="3E66C466" w:rsidR="6201CA78">
              <w:rPr>
                <w:rFonts w:ascii="Arial" w:hAnsi="Arial" w:eastAsia="Arial" w:cs="Arial"/>
                <w:noProof w:val="0"/>
                <w:sz w:val="22"/>
                <w:szCs w:val="22"/>
                <w:lang w:val="en-US"/>
              </w:rPr>
              <w:t xml:space="preserve">About Seguros Confie </w:t>
            </w:r>
          </w:p>
          <w:p w:rsidR="6201CA78" w:rsidP="3E66C466" w:rsidRDefault="6201CA78" w14:paraId="7D3E5405" w14:textId="69F1638A">
            <w:pPr>
              <w:spacing w:before="0" w:beforeAutospacing="off" w:after="0" w:afterAutospacing="off"/>
            </w:pPr>
            <w:r w:rsidRPr="4EFF4C9F" w:rsidR="4E9F9A84">
              <w:rPr>
                <w:rFonts w:ascii="Arial" w:hAnsi="Arial" w:eastAsia="Arial" w:cs="Arial"/>
                <w:noProof w:val="0"/>
                <w:sz w:val="22"/>
                <w:szCs w:val="22"/>
                <w:lang w:val="en-US"/>
              </w:rPr>
              <w:t xml:space="preserve">Seguros </w:t>
            </w:r>
            <w:r w:rsidRPr="4EFF4C9F" w:rsidR="4E9F9A84">
              <w:rPr>
                <w:rFonts w:ascii="Arial" w:hAnsi="Arial" w:eastAsia="Arial" w:cs="Arial"/>
                <w:noProof w:val="0"/>
                <w:sz w:val="22"/>
                <w:szCs w:val="22"/>
                <w:lang w:val="en-US"/>
              </w:rPr>
              <w:t>Confie</w:t>
            </w:r>
            <w:r w:rsidRPr="4EFF4C9F" w:rsidR="4E9F9A84">
              <w:rPr>
                <w:rFonts w:ascii="Arial" w:hAnsi="Arial" w:eastAsia="Arial" w:cs="Arial"/>
                <w:noProof w:val="0"/>
                <w:sz w:val="22"/>
                <w:szCs w:val="22"/>
                <w:lang w:val="en-US"/>
              </w:rPr>
              <w:t xml:space="preserve"> began operations in Tijuana, Baja California, México, in 2011, when </w:t>
            </w:r>
            <w:r w:rsidRPr="4EFF4C9F" w:rsidR="4E9F9A84">
              <w:rPr>
                <w:rFonts w:ascii="Arial" w:hAnsi="Arial" w:eastAsia="Arial" w:cs="Arial"/>
                <w:noProof w:val="0"/>
                <w:sz w:val="22"/>
                <w:szCs w:val="22"/>
                <w:lang w:val="en-US"/>
              </w:rPr>
              <w:t>Confie</w:t>
            </w:r>
            <w:r w:rsidRPr="4EFF4C9F" w:rsidR="4E9F9A84">
              <w:rPr>
                <w:rFonts w:ascii="Arial" w:hAnsi="Arial" w:eastAsia="Arial" w:cs="Arial"/>
                <w:noProof w:val="0"/>
                <w:sz w:val="22"/>
                <w:szCs w:val="22"/>
                <w:lang w:val="en-US"/>
              </w:rPr>
              <w:t xml:space="preserve"> </w:t>
            </w:r>
            <w:r w:rsidRPr="4EFF4C9F" w:rsidR="4E9F9A84">
              <w:rPr>
                <w:rFonts w:ascii="Arial" w:hAnsi="Arial" w:eastAsia="Arial" w:cs="Arial"/>
                <w:noProof w:val="0"/>
                <w:sz w:val="22"/>
                <w:szCs w:val="22"/>
                <w:lang w:val="en-US"/>
              </w:rPr>
              <w:t>acquired</w:t>
            </w:r>
            <w:r w:rsidRPr="4EFF4C9F" w:rsidR="4E9F9A84">
              <w:rPr>
                <w:rFonts w:ascii="Arial" w:hAnsi="Arial" w:eastAsia="Arial" w:cs="Arial"/>
                <w:noProof w:val="0"/>
                <w:sz w:val="22"/>
                <w:szCs w:val="22"/>
                <w:lang w:val="en-US"/>
              </w:rPr>
              <w:t xml:space="preserve"> Seguros Sin Barreras and transitioned support operations and administration to Tijuana. Over the ensuing years, the company moved to a brand-new facility in the financial zone of Tijuana in 2016. Today, Seguros </w:t>
            </w:r>
            <w:r w:rsidRPr="4EFF4C9F" w:rsidR="4E9F9A84">
              <w:rPr>
                <w:rFonts w:ascii="Arial" w:hAnsi="Arial" w:eastAsia="Arial" w:cs="Arial"/>
                <w:noProof w:val="0"/>
                <w:sz w:val="22"/>
                <w:szCs w:val="22"/>
                <w:lang w:val="en-US"/>
              </w:rPr>
              <w:t>Conf</w:t>
            </w:r>
            <w:r w:rsidRPr="4EFF4C9F" w:rsidR="233AC2A7">
              <w:rPr>
                <w:rFonts w:ascii="Arial" w:hAnsi="Arial" w:eastAsia="Arial" w:cs="Arial"/>
                <w:noProof w:val="0"/>
                <w:sz w:val="22"/>
                <w:szCs w:val="22"/>
                <w:lang w:val="en-US"/>
              </w:rPr>
              <w:t>i</w:t>
            </w:r>
            <w:r w:rsidRPr="4EFF4C9F" w:rsidR="4E9F9A84">
              <w:rPr>
                <w:rFonts w:ascii="Arial" w:hAnsi="Arial" w:eastAsia="Arial" w:cs="Arial"/>
                <w:noProof w:val="0"/>
                <w:sz w:val="22"/>
                <w:szCs w:val="22"/>
                <w:lang w:val="en-US"/>
              </w:rPr>
              <w:t>e</w:t>
            </w:r>
            <w:r w:rsidRPr="4EFF4C9F" w:rsidR="4E9F9A84">
              <w:rPr>
                <w:rFonts w:ascii="Arial" w:hAnsi="Arial" w:eastAsia="Arial" w:cs="Arial"/>
                <w:noProof w:val="0"/>
                <w:sz w:val="22"/>
                <w:szCs w:val="22"/>
                <w:lang w:val="en-US"/>
              </w:rPr>
              <w:t xml:space="preserve"> has more than 1,500+ employees. Seguros </w:t>
            </w:r>
            <w:r w:rsidRPr="4EFF4C9F" w:rsidR="4E9F9A84">
              <w:rPr>
                <w:rFonts w:ascii="Arial" w:hAnsi="Arial" w:eastAsia="Arial" w:cs="Arial"/>
                <w:noProof w:val="0"/>
                <w:sz w:val="22"/>
                <w:szCs w:val="22"/>
                <w:lang w:val="en-US"/>
              </w:rPr>
              <w:t>Confie</w:t>
            </w:r>
            <w:r w:rsidRPr="4EFF4C9F" w:rsidR="4E9F9A84">
              <w:rPr>
                <w:rFonts w:ascii="Arial" w:hAnsi="Arial" w:eastAsia="Arial" w:cs="Arial"/>
                <w:noProof w:val="0"/>
                <w:sz w:val="22"/>
                <w:szCs w:val="22"/>
                <w:lang w:val="en-US"/>
              </w:rPr>
              <w:t xml:space="preserve"> serves all 50 states in the U.S. For more information please visit </w:t>
            </w:r>
            <w:hyperlink r:id="Rbfdf894575814af3">
              <w:r w:rsidRPr="4EFF4C9F" w:rsidR="4E9F9A84">
                <w:rPr>
                  <w:rStyle w:val="Hyperlink"/>
                  <w:rFonts w:ascii="Arial" w:hAnsi="Arial" w:eastAsia="Arial" w:cs="Arial"/>
                  <w:noProof w:val="0"/>
                  <w:color w:val="467886"/>
                  <w:sz w:val="22"/>
                  <w:szCs w:val="22"/>
                  <w:lang w:val="en-US"/>
                </w:rPr>
                <w:t>www.confiemx.com</w:t>
              </w:r>
            </w:hyperlink>
            <w:r w:rsidRPr="4EFF4C9F" w:rsidR="4E9F9A84">
              <w:rPr>
                <w:rFonts w:ascii="Arial" w:hAnsi="Arial" w:eastAsia="Arial" w:cs="Arial"/>
                <w:noProof w:val="0"/>
                <w:sz w:val="22"/>
                <w:szCs w:val="22"/>
                <w:lang w:val="en-US"/>
              </w:rPr>
              <w:t>.</w:t>
            </w:r>
            <w:r w:rsidR="7ED6609F">
              <w:drawing>
                <wp:inline wp14:editId="63D731C7" wp14:anchorId="0B5BC519">
                  <wp:extent cx="4533900" cy="2771775"/>
                  <wp:effectExtent l="0" t="0" r="0" b="0"/>
                  <wp:docPr id="1073764147" name="" title=""/>
                  <wp:cNvGraphicFramePr>
                    <a:graphicFrameLocks noChangeAspect="1"/>
                  </wp:cNvGraphicFramePr>
                  <a:graphic>
                    <a:graphicData uri="http://schemas.openxmlformats.org/drawingml/2006/picture">
                      <pic:pic>
                        <pic:nvPicPr>
                          <pic:cNvPr id="0" name=""/>
                          <pic:cNvPicPr/>
                        </pic:nvPicPr>
                        <pic:blipFill>
                          <a:blip r:embed="R18bffa69584543e3">
                            <a:extLst>
                              <a:ext xmlns:a="http://schemas.openxmlformats.org/drawingml/2006/main" uri="{28A0092B-C50C-407E-A947-70E740481C1C}">
                                <a14:useLocalDpi val="0"/>
                              </a:ext>
                            </a:extLst>
                          </a:blip>
                          <a:stretch>
                            <a:fillRect/>
                          </a:stretch>
                        </pic:blipFill>
                        <pic:spPr>
                          <a:xfrm>
                            <a:off x="0" y="0"/>
                            <a:ext cx="4533900" cy="2771775"/>
                          </a:xfrm>
                          <a:prstGeom prst="rect">
                            <a:avLst/>
                          </a:prstGeom>
                        </pic:spPr>
                      </pic:pic>
                    </a:graphicData>
                  </a:graphic>
                </wp:inline>
              </w:drawing>
            </w:r>
          </w:p>
          <w:p w:rsidR="3E66C466" w:rsidP="3E66C466" w:rsidRDefault="3E66C466" w14:paraId="24B1C3A8" w14:textId="1D2FDED8">
            <w:pPr>
              <w:rPr>
                <w:rFonts w:ascii="Arial" w:hAnsi="Arial" w:cs="Arial"/>
                <w:sz w:val="22"/>
                <w:szCs w:val="22"/>
              </w:rPr>
            </w:pPr>
            <w:r w:rsidR="3CB5B8F5">
              <w:drawing>
                <wp:inline wp14:editId="3318E7D2" wp14:anchorId="075DE139">
                  <wp:extent cx="4533900" cy="2914650"/>
                  <wp:effectExtent l="0" t="0" r="0" b="0"/>
                  <wp:docPr id="1200945784" name="" title=""/>
                  <wp:cNvGraphicFramePr>
                    <a:graphicFrameLocks noChangeAspect="1"/>
                  </wp:cNvGraphicFramePr>
                  <a:graphic>
                    <a:graphicData uri="http://schemas.openxmlformats.org/drawingml/2006/picture">
                      <pic:pic>
                        <pic:nvPicPr>
                          <pic:cNvPr id="0" name=""/>
                          <pic:cNvPicPr/>
                        </pic:nvPicPr>
                        <pic:blipFill>
                          <a:blip r:embed="R040f8c2a13c94870">
                            <a:extLst>
                              <a:ext xmlns:a="http://schemas.openxmlformats.org/drawingml/2006/main" uri="{28A0092B-C50C-407E-A947-70E740481C1C}">
                                <a14:useLocalDpi val="0"/>
                              </a:ext>
                            </a:extLst>
                          </a:blip>
                          <a:stretch>
                            <a:fillRect/>
                          </a:stretch>
                        </pic:blipFill>
                        <pic:spPr>
                          <a:xfrm>
                            <a:off x="0" y="0"/>
                            <a:ext cx="4533900" cy="2914650"/>
                          </a:xfrm>
                          <a:prstGeom prst="rect">
                            <a:avLst/>
                          </a:prstGeom>
                        </pic:spPr>
                      </pic:pic>
                    </a:graphicData>
                  </a:graphic>
                </wp:inline>
              </w:drawing>
            </w:r>
            <w:r w:rsidR="3CB5B8F5">
              <w:drawing>
                <wp:inline wp14:editId="47147F82" wp14:anchorId="47B5B34F">
                  <wp:extent cx="4533900" cy="2914650"/>
                  <wp:effectExtent l="0" t="0" r="0" b="0"/>
                  <wp:docPr id="682424742" name="" title=""/>
                  <wp:cNvGraphicFramePr>
                    <a:graphicFrameLocks noChangeAspect="1"/>
                  </wp:cNvGraphicFramePr>
                  <a:graphic>
                    <a:graphicData uri="http://schemas.openxmlformats.org/drawingml/2006/picture">
                      <pic:pic>
                        <pic:nvPicPr>
                          <pic:cNvPr id="0" name=""/>
                          <pic:cNvPicPr/>
                        </pic:nvPicPr>
                        <pic:blipFill>
                          <a:blip r:embed="R6756f29ce1a140b4">
                            <a:extLst>
                              <a:ext xmlns:a="http://schemas.openxmlformats.org/drawingml/2006/main" uri="{28A0092B-C50C-407E-A947-70E740481C1C}">
                                <a14:useLocalDpi val="0"/>
                              </a:ext>
                            </a:extLst>
                          </a:blip>
                          <a:stretch>
                            <a:fillRect/>
                          </a:stretch>
                        </pic:blipFill>
                        <pic:spPr>
                          <a:xfrm>
                            <a:off x="0" y="0"/>
                            <a:ext cx="4533900" cy="2914650"/>
                          </a:xfrm>
                          <a:prstGeom prst="rect">
                            <a:avLst/>
                          </a:prstGeom>
                        </pic:spPr>
                      </pic:pic>
                    </a:graphicData>
                  </a:graphic>
                </wp:inline>
              </w:drawing>
            </w:r>
          </w:p>
        </w:tc>
      </w:tr>
    </w:tbl>
    <w:p w:rsidR="3E66C466" w:rsidP="3E66C466" w:rsidRDefault="3E66C466" w14:paraId="6DA7542F" w14:textId="7D937452">
      <w:pPr>
        <w:rPr>
          <w:rFonts w:ascii="Arial" w:hAnsi="Arial" w:cs="Arial"/>
          <w:sz w:val="22"/>
          <w:szCs w:val="22"/>
        </w:rPr>
      </w:pPr>
    </w:p>
    <w:sectPr w:rsidRPr="00F511FD" w:rsidR="008A300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008"/>
    <w:rsid w:val="002221A5"/>
    <w:rsid w:val="002E7911"/>
    <w:rsid w:val="0032685A"/>
    <w:rsid w:val="003C23C5"/>
    <w:rsid w:val="003D4104"/>
    <w:rsid w:val="007760CE"/>
    <w:rsid w:val="0079746A"/>
    <w:rsid w:val="007D7533"/>
    <w:rsid w:val="008A3008"/>
    <w:rsid w:val="00C54436"/>
    <w:rsid w:val="00D50976"/>
    <w:rsid w:val="00F511FD"/>
    <w:rsid w:val="07FB6B9C"/>
    <w:rsid w:val="0D124EB0"/>
    <w:rsid w:val="10BCC10D"/>
    <w:rsid w:val="15B8B8CF"/>
    <w:rsid w:val="1C42BB56"/>
    <w:rsid w:val="1D74C7E7"/>
    <w:rsid w:val="233AC2A7"/>
    <w:rsid w:val="2A70EBB9"/>
    <w:rsid w:val="2B149ED8"/>
    <w:rsid w:val="2D470215"/>
    <w:rsid w:val="30EEB05F"/>
    <w:rsid w:val="354922A6"/>
    <w:rsid w:val="359F96D3"/>
    <w:rsid w:val="3CB5B8F5"/>
    <w:rsid w:val="3E66C466"/>
    <w:rsid w:val="40604B0F"/>
    <w:rsid w:val="40A03E7A"/>
    <w:rsid w:val="4E9F9A84"/>
    <w:rsid w:val="4EFF4C9F"/>
    <w:rsid w:val="55222CDA"/>
    <w:rsid w:val="6201CA78"/>
    <w:rsid w:val="635DE551"/>
    <w:rsid w:val="6F8BA81C"/>
    <w:rsid w:val="7ED66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FE702C"/>
  <w15:chartTrackingRefBased/>
  <w15:docId w15:val="{897024A0-10EE-4474-A648-503125BD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A300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300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30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30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30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30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30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30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300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A300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A300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A300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A300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A300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A300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A300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A300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A3008"/>
    <w:rPr>
      <w:rFonts w:eastAsiaTheme="majorEastAsia" w:cstheme="majorBidi"/>
      <w:color w:val="272727" w:themeColor="text1" w:themeTint="D8"/>
    </w:rPr>
  </w:style>
  <w:style w:type="paragraph" w:styleId="Title">
    <w:name w:val="Title"/>
    <w:basedOn w:val="Normal"/>
    <w:next w:val="Normal"/>
    <w:link w:val="TitleChar"/>
    <w:uiPriority w:val="10"/>
    <w:qFormat/>
    <w:rsid w:val="008A300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A300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A300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A30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3008"/>
    <w:pPr>
      <w:spacing w:before="160"/>
      <w:jc w:val="center"/>
    </w:pPr>
    <w:rPr>
      <w:i/>
      <w:iCs/>
      <w:color w:val="404040" w:themeColor="text1" w:themeTint="BF"/>
    </w:rPr>
  </w:style>
  <w:style w:type="character" w:styleId="QuoteChar" w:customStyle="1">
    <w:name w:val="Quote Char"/>
    <w:basedOn w:val="DefaultParagraphFont"/>
    <w:link w:val="Quote"/>
    <w:uiPriority w:val="29"/>
    <w:rsid w:val="008A3008"/>
    <w:rPr>
      <w:i/>
      <w:iCs/>
      <w:color w:val="404040" w:themeColor="text1" w:themeTint="BF"/>
    </w:rPr>
  </w:style>
  <w:style w:type="paragraph" w:styleId="ListParagraph">
    <w:name w:val="List Paragraph"/>
    <w:basedOn w:val="Normal"/>
    <w:uiPriority w:val="34"/>
    <w:qFormat/>
    <w:rsid w:val="008A3008"/>
    <w:pPr>
      <w:ind w:left="720"/>
      <w:contextualSpacing/>
    </w:pPr>
  </w:style>
  <w:style w:type="character" w:styleId="IntenseEmphasis">
    <w:name w:val="Intense Emphasis"/>
    <w:basedOn w:val="DefaultParagraphFont"/>
    <w:uiPriority w:val="21"/>
    <w:qFormat/>
    <w:rsid w:val="008A3008"/>
    <w:rPr>
      <w:i/>
      <w:iCs/>
      <w:color w:val="0F4761" w:themeColor="accent1" w:themeShade="BF"/>
    </w:rPr>
  </w:style>
  <w:style w:type="paragraph" w:styleId="IntenseQuote">
    <w:name w:val="Intense Quote"/>
    <w:basedOn w:val="Normal"/>
    <w:next w:val="Normal"/>
    <w:link w:val="IntenseQuoteChar"/>
    <w:uiPriority w:val="30"/>
    <w:qFormat/>
    <w:rsid w:val="008A300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A3008"/>
    <w:rPr>
      <w:i/>
      <w:iCs/>
      <w:color w:val="0F4761" w:themeColor="accent1" w:themeShade="BF"/>
    </w:rPr>
  </w:style>
  <w:style w:type="character" w:styleId="IntenseReference">
    <w:name w:val="Intense Reference"/>
    <w:basedOn w:val="DefaultParagraphFont"/>
    <w:uiPriority w:val="32"/>
    <w:qFormat/>
    <w:rsid w:val="008A3008"/>
    <w:rPr>
      <w:b/>
      <w:bCs/>
      <w:smallCaps/>
      <w:color w:val="0F4761" w:themeColor="accent1" w:themeShade="BF"/>
      <w:spacing w:val="5"/>
    </w:rPr>
  </w:style>
  <w:style w:type="table" w:styleId="TableGrid">
    <w:name w:val="Table Grid"/>
    <w:basedOn w:val="TableNormal"/>
    <w:uiPriority w:val="39"/>
    <w:rsid w:val="003D41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C23C5"/>
    <w:rPr>
      <w:color w:val="467886" w:themeColor="hyperlink"/>
      <w:u w:val="single"/>
    </w:rPr>
  </w:style>
  <w:style w:type="character" w:styleId="UnresolvedMention">
    <w:name w:val="Unresolved Mention"/>
    <w:basedOn w:val="DefaultParagraphFont"/>
    <w:uiPriority w:val="99"/>
    <w:semiHidden/>
    <w:unhideWhenUsed/>
    <w:rsid w:val="003C2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91848">
      <w:bodyDiv w:val="1"/>
      <w:marLeft w:val="0"/>
      <w:marRight w:val="0"/>
      <w:marTop w:val="0"/>
      <w:marBottom w:val="0"/>
      <w:divBdr>
        <w:top w:val="none" w:sz="0" w:space="0" w:color="auto"/>
        <w:left w:val="none" w:sz="0" w:space="0" w:color="auto"/>
        <w:bottom w:val="none" w:sz="0" w:space="0" w:color="auto"/>
        <w:right w:val="none" w:sz="0" w:space="0" w:color="auto"/>
      </w:divBdr>
    </w:div>
    <w:div w:id="848838361">
      <w:bodyDiv w:val="1"/>
      <w:marLeft w:val="0"/>
      <w:marRight w:val="0"/>
      <w:marTop w:val="0"/>
      <w:marBottom w:val="0"/>
      <w:divBdr>
        <w:top w:val="none" w:sz="0" w:space="0" w:color="auto"/>
        <w:left w:val="none" w:sz="0" w:space="0" w:color="auto"/>
        <w:bottom w:val="none" w:sz="0" w:space="0" w:color="auto"/>
        <w:right w:val="none" w:sz="0" w:space="0" w:color="auto"/>
      </w:divBdr>
    </w:div>
    <w:div w:id="1738288116">
      <w:bodyDiv w:val="1"/>
      <w:marLeft w:val="0"/>
      <w:marRight w:val="0"/>
      <w:marTop w:val="0"/>
      <w:marBottom w:val="0"/>
      <w:divBdr>
        <w:top w:val="none" w:sz="0" w:space="0" w:color="auto"/>
        <w:left w:val="none" w:sz="0" w:space="0" w:color="auto"/>
        <w:bottom w:val="none" w:sz="0" w:space="0" w:color="auto"/>
        <w:right w:val="none" w:sz="0" w:space="0" w:color="auto"/>
      </w:divBdr>
    </w:div>
    <w:div w:id="200451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png" Id="R040f8c2a13c94870" /><Relationship Type="http://schemas.openxmlformats.org/officeDocument/2006/relationships/image" Target="/media/image2.png" Id="R6756f29ce1a140b4" /><Relationship Type="http://schemas.openxmlformats.org/officeDocument/2006/relationships/hyperlink" Target="https://www.confiemx.com/" TargetMode="External" Id="Rbfdf894575814af3" /><Relationship Type="http://schemas.openxmlformats.org/officeDocument/2006/relationships/image" Target="/media/image3.png" Id="R18bffa69584543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Andrea Monserrath Perez Gonzalez</dc:creator>
  <keywords/>
  <dc:description/>
  <lastModifiedBy>Andrea Monserrath Perez Gonzalez</lastModifiedBy>
  <revision>16</revision>
  <dcterms:created xsi:type="dcterms:W3CDTF">2025-04-29T19:15:00.0000000Z</dcterms:created>
  <dcterms:modified xsi:type="dcterms:W3CDTF">2025-05-09T15:38:59.7089384Z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e51acbf3-bd4d-4dda-aea3-ee1ea8b94e2f</vt:lpwstr>
  </property>
</Properties>
</file>